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468" w:topFromText="0" w:vertAnchor="text"/>
        <w:tblW w:w="1533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280"/>
        <w:gridCol w:w="5052"/>
      </w:tblGrid>
      <w:tr>
        <w:trPr>
          <w:trHeight w:val="1342" w:hRule="atLeast"/>
        </w:trPr>
        <w:tc>
          <w:tcPr>
            <w:tcW w:w="102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ArialMT" w:cs="Times New Roman"/>
                <w:lang w:eastAsia="ru-RU" w:bidi="ar-SA"/>
              </w:rPr>
            </w:pPr>
            <w:r>
              <w:rPr>
                <w:rFonts w:eastAsia="ArialMT" w:cs="Times New Roman" w:ascii="Times New Roman" w:hAnsi="Times New Roman"/>
                <w:lang w:eastAsia="ru-RU" w:bidi="ar-SA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390640" cy="833882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640" cy="833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ArialMT" w:cs="Times New Roman"/>
                <w:lang w:eastAsia="ru-RU" w:bidi="ar-SA"/>
              </w:rPr>
            </w:pPr>
            <w:r>
              <w:rPr>
                <w:rFonts w:eastAsia="ArialMT" w:cs="Times New Roman" w:ascii="Times New Roman" w:hAnsi="Times New Roman"/>
                <w:lang w:eastAsia="ru-RU" w:bidi="ar-SA"/>
              </w:rPr>
            </w:r>
          </w:p>
        </w:tc>
      </w:tr>
    </w:tbl>
    <w:p>
      <w:pPr>
        <w:pStyle w:val="Normal"/>
        <w:widowControl/>
        <w:suppressAutoHyphens w:val="false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lang w:eastAsia="ru-RU" w:bidi="ar-SA"/>
        </w:rPr>
        <w:t xml:space="preserve">их достижения и обеспечение общепризнанной, зафиксированной в нормативных документах  и локальных актах системе государственно – общественных требований к качеству образования, а также личностным ожиданиям обучающихся. 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lang w:eastAsia="ru-RU" w:bidi="ar-SA"/>
        </w:rPr>
        <w:t>оценка/оценочная процедура</w:t>
      </w:r>
      <w:r>
        <w:rPr>
          <w:rFonts w:eastAsia="Times New Roman" w:cs="Times New Roman" w:ascii="Times New Roman" w:hAnsi="Times New Roman"/>
          <w:lang w:eastAsia="ru-RU" w:bidi="ar-SA"/>
        </w:rPr>
        <w:t xml:space="preserve"> –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b/>
          <w:lang w:eastAsia="ru-RU" w:bidi="ar-SA"/>
        </w:rPr>
        <w:t>экспертиза</w:t>
      </w:r>
      <w:r>
        <w:rPr>
          <w:rFonts w:eastAsia="Times New Roman" w:cs="Times New Roman" w:ascii="Times New Roman" w:hAnsi="Times New Roman"/>
          <w:lang w:eastAsia="ru-RU" w:bidi="ar-SA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b/>
          <w:lang w:eastAsia="ru-RU" w:bidi="ar-SA"/>
        </w:rPr>
        <w:t>ОГЭ</w:t>
      </w:r>
      <w:r>
        <w:rPr>
          <w:rFonts w:eastAsia="Times New Roman" w:cs="Times New Roman" w:ascii="Times New Roman" w:hAnsi="Times New Roman"/>
          <w:lang w:eastAsia="ru-RU" w:bidi="ar-SA"/>
        </w:rPr>
        <w:t xml:space="preserve"> – основной государственный экзамен;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b/>
          <w:lang w:eastAsia="ru-RU" w:bidi="ar-SA"/>
        </w:rPr>
        <w:t>ВПР</w:t>
      </w:r>
      <w:r>
        <w:rPr>
          <w:rFonts w:eastAsia="Times New Roman" w:cs="Times New Roman" w:ascii="Times New Roman" w:hAnsi="Times New Roman"/>
          <w:lang w:eastAsia="ru-RU" w:bidi="ar-SA"/>
        </w:rPr>
        <w:t xml:space="preserve"> – всероссийские проверочные работы;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b/>
          <w:lang w:eastAsia="ru-RU" w:bidi="ar-SA"/>
        </w:rPr>
        <w:t>КИМ</w:t>
      </w:r>
      <w:r>
        <w:rPr>
          <w:rFonts w:eastAsia="Times New Roman" w:cs="Times New Roman" w:ascii="Times New Roman" w:hAnsi="Times New Roman"/>
          <w:lang w:eastAsia="ru-RU" w:bidi="ar-SA"/>
        </w:rPr>
        <w:t xml:space="preserve"> – контрольно-измерительные материалы;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b/>
          <w:lang w:eastAsia="ru-RU" w:bidi="ar-SA"/>
        </w:rPr>
        <w:t>ООП</w:t>
      </w:r>
      <w:r>
        <w:rPr>
          <w:rFonts w:eastAsia="Times New Roman" w:cs="Times New Roman" w:ascii="Times New Roman" w:hAnsi="Times New Roman"/>
          <w:lang w:eastAsia="ru-RU" w:bidi="ar-SA"/>
        </w:rPr>
        <w:t xml:space="preserve"> – основная образовательная программа;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b/>
          <w:lang w:eastAsia="ru-RU" w:bidi="ar-SA"/>
        </w:rPr>
        <w:t>УУД</w:t>
      </w:r>
      <w:r>
        <w:rPr>
          <w:rFonts w:eastAsia="Times New Roman" w:cs="Times New Roman" w:ascii="Times New Roman" w:hAnsi="Times New Roman"/>
          <w:lang w:eastAsia="ru-RU" w:bidi="ar-SA"/>
        </w:rPr>
        <w:t xml:space="preserve"> – универсальные учебные действия;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1.5.Оценка качества образования осуществляется посредством: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системы внутришкольного контроля;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ежегодного проведения самообследования;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общественной экспертизы качества образования;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лицензирования образовательной деятельности;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государственной аккредитации образовательной деятельности;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–</w:t>
      </w:r>
      <w:r>
        <w:rPr>
          <w:rFonts w:eastAsia="Times New Roman" w:cs="Times New Roman" w:ascii="Times New Roman" w:hAnsi="Times New Roman"/>
          <w:lang w:eastAsia="ru-RU" w:bidi="ar-SA"/>
        </w:rPr>
        <w:t xml:space="preserve">государственной итоговой аттестации обучающихся, освоивших основную образовательную программу основного общего и среднего общего образования;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мониторинга качества образования.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1.6.В качестве источников данных для оценки качества образования используются: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статистические данные;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отчеты о самообследовании;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результаты промежуточной и итоговой аттестации обучающихся;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результаты мониторинговых исследований;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данные социологических опросов;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отчеты работников МОУ «Гимназия»;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посещение уроков и внеклассных мероприятий.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  <w:t>2.Цели, задачи и принципы системы качества образования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  <w:tab/>
      </w:r>
      <w:r>
        <w:rPr>
          <w:rFonts w:eastAsia="Times New Roman" w:cs="Times New Roman" w:ascii="Times New Roman" w:hAnsi="Times New Roman"/>
          <w:lang w:eastAsia="ru-RU" w:bidi="ar-SA"/>
        </w:rPr>
        <w:t>2.1.Целями ВСОКО являются: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>–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МОУ «Гимназия»;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>– получение объективной информации о функционировании и развитии системы образования в МОУ «Гимназия», тенденциях ее изменений и причинах, влияющих на его уровень;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>– предоставление всем участникам образовательных отношений и общественности достоверной информации о качестве образования;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 xml:space="preserve"> – принятие обоснованных и своевременных управленческих решений по совершенствованию образования и повышение уровня информированности всех участников образовательных отношений при принятии таких решений;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>– прогнозирование развития образовательной системы МОУ «Гимназия».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Times New Roman" w:ascii="Times New Roman" w:hAnsi="Times New Roman"/>
          <w:lang w:eastAsia="ru-RU" w:bidi="ar-SA"/>
        </w:rPr>
        <w:tab/>
        <w:t>2.2.ВСОКО ориентирована на решение следующих задач: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/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повышение качества образования.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>– систематическое отслеживание и анализ состояния системы образования в МОУ «Гимназия»</w:t>
        <w:tab/>
        <w:t>;</w:t>
      </w:r>
    </w:p>
    <w:p>
      <w:pPr>
        <w:pStyle w:val="Normal"/>
        <w:widowControl/>
        <w:suppressAutoHyphens w:val="false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 –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повышение эффективности управления МОУ «Гимназия»;</w:t>
      </w:r>
    </w:p>
    <w:p>
      <w:pPr>
        <w:pStyle w:val="Normal"/>
        <w:widowControl/>
        <w:suppressAutoHyphens w:val="false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 –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формирование требований к качеству образования с учетом запросов участников образовательных отношений;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Arial" w:ascii="Arial" w:hAnsi="Arial"/>
          <w:color w:val="000000"/>
          <w:lang w:eastAsia="ru-RU" w:bidi="ar-SA"/>
        </w:rPr>
        <w:t> </w:t>
      </w: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определение степени соответствия образовательных результатов обучающихся на различных уровнях обучениях федеральным государственным образовательным стандартам;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Arial" w:ascii="Arial" w:hAnsi="Arial"/>
          <w:color w:val="000000"/>
          <w:lang w:eastAsia="ru-RU" w:bidi="ar-SA"/>
        </w:rPr>
        <w:t> </w:t>
      </w: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определение степени соответствия образовательных программ нормативным требованиям;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Arial" w:ascii="Arial" w:hAnsi="Arial"/>
          <w:color w:val="000000"/>
          <w:lang w:eastAsia="ru-RU" w:bidi="ar-SA"/>
        </w:rPr>
        <w:t> </w:t>
      </w: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совершенствование содержания и технологий образования;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Arial" w:ascii="Arial" w:hAnsi="Arial"/>
          <w:color w:val="000000"/>
          <w:lang w:eastAsia="ru-RU" w:bidi="ar-SA"/>
        </w:rPr>
        <w:t> </w:t>
      </w: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обеспечение доступности качественного образования;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 – </w:t>
      </w:r>
      <w:r>
        <w:rPr>
          <w:rFonts w:eastAsia="Times New Roman" w:cs="Times New Roman" w:ascii="Times New Roman" w:hAnsi="Times New Roman"/>
          <w:lang w:eastAsia="ru-RU" w:bidi="ar-SA"/>
        </w:rPr>
        <w:t>выявление факторов, влияющих на качество образования;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 – </w:t>
      </w:r>
      <w:r>
        <w:rPr>
          <w:rFonts w:eastAsia="Times New Roman" w:cs="Times New Roman" w:ascii="Times New Roman" w:hAnsi="Times New Roman"/>
          <w:lang w:eastAsia="ru-RU" w:bidi="ar-SA"/>
        </w:rPr>
        <w:t>расширение общественного участия в управлении образованием в МОУ «Гимназия»;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2.3.В основу ВСОКО положены следующие принципы: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объективности, достоверности, полноты и системности информации о качестве образования в МОУ «Гимназия»;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открытости, прозрачности процедур оценки качества образования;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доступности информации о состоянии и качестве образования для участников образовательных отношений;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/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сопоставимости системы показателей с муниципальными, региональными аналогами.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Организационная структура ВСОКО, ее функции</w:t>
      </w:r>
    </w:p>
    <w:p>
      <w:pPr>
        <w:pStyle w:val="Normal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</w:t>
      </w:r>
      <w:r>
        <w:rPr>
          <w:rFonts w:eastAsia="Times New Roman" w:ascii="Times New Roman" w:hAnsi="Times New Roman"/>
          <w:lang w:eastAsia="ru-RU"/>
        </w:rPr>
        <w:tab/>
        <w:t xml:space="preserve">  3.1.Организационная структура, занимающаяся оценкой, экспертизой качества образования включает в себя: администрацию МОУ «Гимназия», педагогический совет, методический совет, школьные методические объединения учителей – предметников, временные структуры (комиссии, консилиумы и т.п.).</w:t>
      </w:r>
    </w:p>
    <w:p>
      <w:pPr>
        <w:pStyle w:val="Normal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ab/>
        <w:t xml:space="preserve"> 3.2.Администрация МОУ «Гимназия»: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ascii="Times New Roman" w:hAnsi="Times New Roman"/>
          <w:lang w:eastAsia="ru-RU"/>
        </w:rPr>
        <w:tab/>
      </w:r>
      <w:r>
        <w:rPr>
          <w:rFonts w:eastAsia="Times New Roman" w:cs="Times New Roman" w:ascii="Times New Roman" w:hAnsi="Times New Roman"/>
          <w:lang w:eastAsia="ru-RU" w:bidi="ar-SA"/>
        </w:rPr>
        <w:t>– формирует локальные нормативные документы, регулирующих функционирование ВСОКО, контролирует их исполнение;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>– разрабатывает мероприятия и готовит предложения, направленные на совершенствование ВСОКО, участвует в этих мероприятиях;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 xml:space="preserve">– обеспечивает на основе образовательных программ проведение  контрольно – оценочных процедур, мониторинговых, социологических и статистических исследований по вопросам качества образования; 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>– 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учреждения;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 xml:space="preserve"> – организует изучение информационных запросов участников образовательных отношений;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 xml:space="preserve"> – обеспечивает предоставление информации о качестве образования, формирует информационно – аналитические материалы по результатам ВСОКО;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>– 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ab/>
        <w:t>3.3.Методический совет: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 – </w:t>
      </w:r>
      <w:r>
        <w:rPr>
          <w:rFonts w:eastAsia="Times New Roman" w:cs="Times New Roman" w:ascii="Times New Roman" w:hAnsi="Times New Roman"/>
          <w:lang w:eastAsia="ru-RU" w:bidi="ar-SA"/>
        </w:rPr>
        <w:t>участвует  в разработке методики оценки качества образования, участвует в разработке системы показателей, характеризующих состояние и динамику развития МОУ «Гимназия»;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участвует в разработке критериев оценки результативности профессиональной деятельности педагогов;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содействует проведению подготовки работников по осуществлению контрольно – оценочных процедур;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готовит предложения администрации МОУ «Гимназия» по выработке управленческих решений по результатам оценки качества образования на уровне учреждения.</w:t>
      </w:r>
    </w:p>
    <w:p>
      <w:pPr>
        <w:pStyle w:val="Normal"/>
        <w:ind w:firstLine="708"/>
        <w:jc w:val="both"/>
        <w:rPr>
          <w:color w:val="000000"/>
          <w:lang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3.4.</w:t>
      </w:r>
      <w:r>
        <w:rPr>
          <w:rFonts w:cs="Times New Roman" w:ascii="Times New Roman" w:hAnsi="Times New Roman"/>
          <w:color w:val="000000"/>
          <w:lang w:bidi="ar-SA"/>
        </w:rPr>
        <w:t>Педагогический совет обеспечивает функционирование внутренней системы оценки качества образования: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–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формирует приоритетные направления стратегии развития школьной системы образования и формирует единые концептуальные подходы к оценке качества образования;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–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формирует информационные запросы основных пользователей внутренней системы оценки качества образования;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–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координирует связанную с вопросами оценки качества образования работу методических объединений учителей-предметников;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–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утверждает перечень показателей и индикаторов, характеризующих состояние и динамику развития образования в учреждении;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–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определяет состояние и тенденции развития образования в учреждении, на основе которых принимаются управленческие решения по совершенствованию качества образования;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–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содействует организации работы по повышению квалификации педагогических работников, по развитию их творческих инициатив, распространению передового опыта;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3.5. Методические объединения учителей-предметников: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–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участвуют в разработке системы показателей, характеризующих состояние и динамику развития образования в учреждении;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осуществляют информационное обеспечение функционирования внутренней системы оценки качества образования;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осуществляют организацию сбора, хранения и предоставление информации о состоянии и динамике преподавания отдельных предметов;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анализируют результаты оценки качества образования на уровне методического объединения;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Arial" w:hAnsi="Arial" w:eastAsia="Times New Roman" w:cs="Arial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обеспечивают помощь отдельным педагогическим работникам в формировании собственных систем оценки качества обучения и воспитания.</w:t>
      </w:r>
    </w:p>
    <w:p>
      <w:pPr>
        <w:pStyle w:val="Normal"/>
        <w:widowControl/>
        <w:shd w:val="clear" w:color="auto" w:fill="FFFFFF"/>
        <w:suppressAutoHyphens w:val="false"/>
        <w:spacing w:lineRule="atLeast" w:line="294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Направления ВСОКО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4.1. В рамках ВСОКО оценивается: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качество образовательных результатов обучающихся;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>качество реализации образовательного процесса;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lang w:eastAsia="ru-RU" w:bidi="ar-SA"/>
        </w:rPr>
        <w:t xml:space="preserve">качество условий, обеспечивающих образовательный процесс. 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  <w:t>4.2. Качество образовательных результатов обучающихся.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Calibri" w:cs="Times New Roman"/>
          <w:spacing w:val="-2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spacing w:val="-2"/>
          <w:u w:val="none" w:color="000000"/>
          <w:lang w:eastAsia="en-US" w:bidi="ar-SA"/>
        </w:rPr>
        <w:t>4.2.1.Система оценки качества образовательных результатов предполагает: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u w:val="none" w:color="000000"/>
          <w:lang w:eastAsia="en-US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>оценку планируемых предметных результатов освоения основной образовательной программы;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u w:val="none" w:color="000000"/>
          <w:lang w:eastAsia="en-US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>оценку планируемых метапредметных результатов освоения основной образовательной программы;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u w:val="none" w:color="000000"/>
          <w:lang w:eastAsia="en-US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>оценку  планируемых личностных результатов освоения основной образовательной программы;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Cs w:val="24"/>
          <w:u w:val="none" w:color="000000"/>
          <w:lang w:eastAsia="en-US" w:bidi="ar-SA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>оценку удовлетворенности родителей (законных представителей) качеством образовательных результатов;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Cs w:val="24"/>
          <w:u w:val="none" w:color="000000"/>
          <w:lang w:eastAsia="en-US" w:bidi="ar-SA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>определение выпускников МОУ «Гимназия».</w:t>
      </w:r>
    </w:p>
    <w:p>
      <w:pPr>
        <w:pStyle w:val="NoSpacing"/>
        <w:ind w:left="708" w:hanging="0"/>
        <w:jc w:val="both"/>
        <w:rPr>
          <w:rFonts w:ascii="Times New Roman" w:hAnsi="Times New Roman" w:cs="Times New Roman"/>
          <w:szCs w:val="24"/>
          <w:u w:val="none" w:color="000000"/>
          <w:lang w:eastAsia="en-US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>4.2.2.Оценка планируемых предметных результатов освоения основной образовательной программы проводится в следующих формах:</w:t>
      </w:r>
    </w:p>
    <w:p>
      <w:pPr>
        <w:pStyle w:val="NoSpacing"/>
        <w:ind w:left="708" w:hanging="0"/>
        <w:jc w:val="both"/>
        <w:rPr>
          <w:rFonts w:ascii="Times New Roman" w:hAnsi="Times New Roman" w:eastAsia="Times New Roman" w:cs="Times New Roman"/>
          <w:szCs w:val="24"/>
          <w:lang w:eastAsia="ru-RU" w:bidi="ar-SA"/>
        </w:rPr>
      </w:pPr>
      <w:r>
        <w:rPr>
          <w:rFonts w:eastAsia="Times New Roman" w:cs="Times New Roman" w:ascii="Times New Roman" w:hAnsi="Times New Roman"/>
          <w:szCs w:val="24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szCs w:val="24"/>
          <w:lang w:eastAsia="ru-RU" w:bidi="ar-SA"/>
        </w:rPr>
        <w:t>промежуточная аттестация;</w:t>
      </w:r>
    </w:p>
    <w:p>
      <w:pPr>
        <w:pStyle w:val="NoSpacing"/>
        <w:ind w:left="708" w:hanging="0"/>
        <w:jc w:val="both"/>
        <w:rPr>
          <w:rFonts w:ascii="Times New Roman" w:hAnsi="Times New Roman" w:eastAsia="Times New Roman" w:cs="Times New Roman"/>
          <w:szCs w:val="24"/>
          <w:lang w:eastAsia="ru-RU" w:bidi="ar-SA"/>
        </w:rPr>
      </w:pPr>
      <w:r>
        <w:rPr>
          <w:rFonts w:eastAsia="Times New Roman" w:cs="Times New Roman" w:ascii="Times New Roman" w:hAnsi="Times New Roman"/>
          <w:szCs w:val="24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szCs w:val="24"/>
          <w:lang w:eastAsia="ru-RU" w:bidi="ar-SA"/>
        </w:rPr>
        <w:t>анализ результатов ГИА;</w:t>
      </w:r>
    </w:p>
    <w:p>
      <w:pPr>
        <w:pStyle w:val="NoSpacing"/>
        <w:ind w:left="708" w:hanging="0"/>
        <w:jc w:val="both"/>
        <w:rPr>
          <w:rFonts w:ascii="Times New Roman" w:hAnsi="Times New Roman" w:eastAsia="Times New Roman" w:cs="Times New Roman"/>
          <w:szCs w:val="24"/>
          <w:lang w:eastAsia="ru-RU" w:bidi="ar-SA"/>
        </w:rPr>
      </w:pPr>
      <w:r>
        <w:rPr>
          <w:rFonts w:eastAsia="Times New Roman" w:cs="Times New Roman" w:ascii="Times New Roman" w:hAnsi="Times New Roman"/>
          <w:szCs w:val="24"/>
          <w:lang w:eastAsia="ru-RU" w:bidi="ar-SA"/>
        </w:rPr>
        <w:t xml:space="preserve">– </w:t>
      </w:r>
      <w:r>
        <w:rPr>
          <w:rFonts w:eastAsia="Times New Roman" w:cs="Times New Roman" w:ascii="Times New Roman" w:hAnsi="Times New Roman"/>
          <w:szCs w:val="24"/>
          <w:lang w:eastAsia="ru-RU" w:bidi="ar-SA"/>
        </w:rPr>
        <w:t>итоговая оценка по предметам, не выносимым на ГИА.</w:t>
      </w:r>
    </w:p>
    <w:p>
      <w:pPr>
        <w:pStyle w:val="NoSpacing"/>
        <w:ind w:left="142" w:firstLine="566"/>
        <w:jc w:val="both"/>
        <w:rPr>
          <w:rFonts w:ascii="Times New Roman" w:hAnsi="Times New Roman" w:cs="Times New Roman"/>
          <w:szCs w:val="24"/>
          <w:u w:val="none" w:color="000000"/>
          <w:lang w:eastAsia="en-US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>4.2.3.Оценка планируемых метапредметных результатов освоения основной образовательной программы проводится в форме групповых и (или) индивидуальных проектов.</w:t>
      </w:r>
    </w:p>
    <w:p>
      <w:pPr>
        <w:pStyle w:val="NoSpacing"/>
        <w:ind w:left="142" w:firstLine="566"/>
        <w:jc w:val="both"/>
        <w:rPr>
          <w:rFonts w:ascii="Times New Roman" w:hAnsi="Times New Roman" w:cs="Times New Roman"/>
          <w:szCs w:val="24"/>
          <w:u w:val="none" w:color="000000"/>
          <w:lang w:eastAsia="en-US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 xml:space="preserve">4.2.4. Оценка  планируемых личностных результатов освоения основной образовательной программы осуществляется на основе мониторинга личностных результатов обучающихся, который проводится в конце каждого учебного года. Результаты фиксируются исключительно в неперсонифицированном виде. Инструментарий для оценки сформированности личностных результатов разрабатывается  и подбирается психологической службой. </w:t>
      </w:r>
    </w:p>
    <w:p>
      <w:pPr>
        <w:pStyle w:val="NoSpacing"/>
        <w:ind w:left="142" w:firstLine="425"/>
        <w:jc w:val="both"/>
        <w:rPr>
          <w:rFonts w:ascii="Times New Roman" w:hAnsi="Times New Roman" w:cs="Times New Roman"/>
          <w:szCs w:val="24"/>
          <w:u w:val="none" w:color="000000"/>
          <w:lang w:eastAsia="en-US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>4.2.5. Оценка удовлетворенности родителей (законных представителей) качеством образовательных результатов проводится только для родителей (законных представителей) обучающихся 9, 11 классов.</w:t>
      </w:r>
    </w:p>
    <w:p>
      <w:pPr>
        <w:pStyle w:val="Default"/>
        <w:ind w:firstLine="490"/>
        <w:jc w:val="both"/>
        <w:rPr/>
      </w:pPr>
      <w:r>
        <w:rPr/>
        <w:t>4.2.6.Определение выпускников проводится по уровням образования:</w:t>
      </w:r>
    </w:p>
    <w:p>
      <w:pPr>
        <w:pStyle w:val="Default"/>
        <w:jc w:val="both"/>
        <w:rPr>
          <w:rFonts w:eastAsia="Times New Roman"/>
          <w:lang w:eastAsia="ru-RU"/>
        </w:rPr>
      </w:pPr>
      <w:r>
        <w:rPr/>
        <w:tab/>
      </w:r>
      <w:r>
        <w:rPr>
          <w:rFonts w:eastAsia="Times New Roman"/>
          <w:lang w:eastAsia="ru-RU"/>
        </w:rPr>
        <w:t>– определение выпускников, освоивших основную образовательную программу основного     общего образования;</w:t>
      </w:r>
    </w:p>
    <w:p>
      <w:pPr>
        <w:pStyle w:val="Default"/>
        <w:jc w:val="both"/>
        <w:rPr/>
      </w:pPr>
      <w:r>
        <w:rPr/>
        <w:tab/>
      </w:r>
      <w:r>
        <w:rPr>
          <w:rFonts w:eastAsia="Times New Roman"/>
          <w:lang w:eastAsia="ru-RU"/>
        </w:rPr>
        <w:t>– определение выпускников, освоивших основную образовательную программу среднего общего образования.</w:t>
      </w:r>
    </w:p>
    <w:p>
      <w:pPr>
        <w:pStyle w:val="NoSpacing"/>
        <w:ind w:left="142" w:firstLine="348"/>
        <w:jc w:val="both"/>
        <w:rPr>
          <w:rFonts w:ascii="Times New Roman" w:hAnsi="Times New Roman" w:eastAsia="Calibri" w:cs="Times New Roman"/>
          <w:szCs w:val="24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szCs w:val="24"/>
          <w:u w:val="none" w:color="000000"/>
          <w:lang w:eastAsia="en-US" w:bidi="ar-SA"/>
        </w:rPr>
        <w:t xml:space="preserve">4.2.7.Сводная ведомость по итогам оценки </w:t>
      </w:r>
      <w:r>
        <w:rPr>
          <w:rFonts w:eastAsia="Calibri" w:cs="Times New Roman" w:ascii="Times New Roman" w:hAnsi="Times New Roman"/>
          <w:spacing w:val="-2"/>
          <w:szCs w:val="24"/>
          <w:u w:val="none" w:color="000000"/>
          <w:lang w:eastAsia="en-US" w:bidi="ar-SA"/>
        </w:rPr>
        <w:t>качества образовательных результатов проводится по параметрам согласно Приложению 1.</w:t>
      </w:r>
    </w:p>
    <w:p>
      <w:pPr>
        <w:pStyle w:val="Normal"/>
        <w:widowControl/>
        <w:suppressAutoHyphens w:val="false"/>
        <w:ind w:firstLine="567"/>
        <w:jc w:val="both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cs="Times New Roman" w:ascii="Times New Roman" w:hAnsi="Times New Roman"/>
          <w:b/>
          <w:u w:val="none" w:color="000000"/>
          <w:lang w:eastAsia="en-US"/>
        </w:rPr>
        <w:t>4.3.</w:t>
      </w:r>
      <w:r>
        <w:rPr>
          <w:rFonts w:eastAsia="Times New Roman" w:cs="Times New Roman" w:ascii="Times New Roman" w:hAnsi="Times New Roman"/>
          <w:b/>
          <w:lang w:eastAsia="ru-RU" w:bidi="ar-SA"/>
        </w:rPr>
        <w:t xml:space="preserve"> Качество реализации образовательного процесса.</w:t>
      </w:r>
    </w:p>
    <w:p>
      <w:pPr>
        <w:pStyle w:val="Normal"/>
        <w:widowControl/>
        <w:suppressAutoHyphens w:val="false"/>
        <w:ind w:firstLine="567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 xml:space="preserve">4.3.1.Система оценки качества реализации образовательного процесса предполагает:  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cs="Times New Roman" w:ascii="Times New Roman" w:hAnsi="Times New Roman"/>
          <w:szCs w:val="24"/>
          <w:lang w:eastAsia="ru-RU"/>
        </w:rPr>
        <w:t>оценку качества основных образовательных программ;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cs="Times New Roman" w:ascii="Times New Roman" w:hAnsi="Times New Roman"/>
          <w:szCs w:val="24"/>
          <w:lang w:eastAsia="ru-RU"/>
        </w:rPr>
        <w:t>оценку  качества рабочих программ учебных предметов;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cs="Times New Roman" w:ascii="Times New Roman" w:hAnsi="Times New Roman"/>
          <w:szCs w:val="24"/>
          <w:lang w:eastAsia="ru-RU"/>
        </w:rPr>
        <w:t>оценку реализации основных образовательных программ (реализация учебных планов и рабочих программ);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cs="Times New Roman" w:ascii="Times New Roman" w:hAnsi="Times New Roman"/>
          <w:szCs w:val="24"/>
          <w:lang w:eastAsia="ru-RU"/>
        </w:rPr>
        <w:t>оценку качества внеурочной деятельности;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eastAsia="Calibri" w:cs="Times New Roman"/>
          <w:spacing w:val="-2"/>
          <w:szCs w:val="24"/>
          <w:u w:val="none" w:color="000000"/>
          <w:lang w:eastAsia="en-US"/>
        </w:rPr>
      </w:pPr>
      <w:r>
        <w:rPr>
          <w:rFonts w:cs="Times New Roman" w:ascii="Times New Roman" w:hAnsi="Times New Roman"/>
          <w:szCs w:val="24"/>
          <w:lang w:eastAsia="ru-RU"/>
        </w:rPr>
        <w:t>оценку удовлетворенности участников образовательных отношений качеством образовательного процесса.</w:t>
      </w:r>
      <w:r>
        <w:rPr>
          <w:rFonts w:eastAsia="Calibri" w:cs="Times New Roman" w:ascii="Times New Roman" w:hAnsi="Times New Roman"/>
          <w:spacing w:val="-2"/>
          <w:szCs w:val="24"/>
          <w:u w:val="none" w:color="000000"/>
          <w:lang w:eastAsia="en-US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 w:eastAsia="Calibri" w:cs="Times New Roman"/>
          <w:szCs w:val="24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spacing w:val="-2"/>
          <w:szCs w:val="24"/>
          <w:u w:val="none" w:color="000000"/>
          <w:lang w:eastAsia="en-US" w:bidi="ar-SA"/>
        </w:rPr>
        <w:t>4.3.2.</w:t>
      </w:r>
      <w:r>
        <w:rPr>
          <w:rFonts w:eastAsia="Calibri" w:cs="Times New Roman" w:ascii="Times New Roman" w:hAnsi="Times New Roman"/>
          <w:szCs w:val="24"/>
          <w:u w:val="none" w:color="000000"/>
          <w:lang w:eastAsia="en-US" w:bidi="ar-SA"/>
        </w:rPr>
        <w:t xml:space="preserve"> Сводная ведомость по итогам оценки </w:t>
      </w:r>
      <w:r>
        <w:rPr>
          <w:rFonts w:eastAsia="Calibri" w:cs="Times New Roman" w:ascii="Times New Roman" w:hAnsi="Times New Roman"/>
          <w:spacing w:val="-2"/>
          <w:szCs w:val="24"/>
          <w:u w:val="none" w:color="000000"/>
          <w:lang w:eastAsia="en-US" w:bidi="ar-SA"/>
        </w:rPr>
        <w:t>качества реализации образовательного процесса проводится по параметрам согласно Приложению 2.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Calibri" w:cs="Times New Roman" w:ascii="Times New Roman" w:hAnsi="Times New Roman"/>
          <w:b/>
          <w:spacing w:val="-2"/>
          <w:u w:val="none" w:color="000000"/>
          <w:lang w:eastAsia="en-US" w:bidi="ar-SA"/>
        </w:rPr>
        <w:t>4</w:t>
      </w:r>
      <w:r>
        <w:rPr>
          <w:rFonts w:eastAsia="Times New Roman" w:cs="Times New Roman" w:ascii="Times New Roman" w:hAnsi="Times New Roman"/>
          <w:b/>
          <w:lang w:eastAsia="ru-RU" w:bidi="ar-SA"/>
        </w:rPr>
        <w:t>.4.Качество условий, обеспечивающих образовательный процесс.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  <w:t>4.4.1. Система оценки качества условий, обеспечивающих образовательный процесс, предполагает: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Cs w:val="24"/>
          <w:lang w:eastAsia="ru-RU"/>
        </w:rPr>
      </w:pPr>
      <w:r>
        <w:rPr>
          <w:rFonts w:cs="Times New Roman" w:ascii="Times New Roman" w:hAnsi="Times New Roman"/>
          <w:szCs w:val="24"/>
          <w:lang w:eastAsia="ru-RU"/>
        </w:rPr>
        <w:t>оценку ресурсов МОУ «Гимназия»;</w:t>
      </w:r>
    </w:p>
    <w:p>
      <w:pPr>
        <w:pStyle w:val="NoSpacing"/>
        <w:numPr>
          <w:ilvl w:val="0"/>
          <w:numId w:val="4"/>
        </w:numPr>
        <w:ind w:left="0" w:firstLine="360"/>
        <w:rPr>
          <w:rFonts w:ascii="Times New Roman" w:hAnsi="Times New Roman" w:cs="Times New Roman"/>
          <w:szCs w:val="24"/>
          <w:lang w:eastAsia="ru-RU" w:bidi="ar-SA"/>
        </w:rPr>
      </w:pPr>
      <w:r>
        <w:rPr>
          <w:rFonts w:cs="Times New Roman" w:ascii="Times New Roman" w:hAnsi="Times New Roman"/>
          <w:szCs w:val="24"/>
          <w:lang w:eastAsia="ru-RU"/>
        </w:rPr>
        <w:t xml:space="preserve">оценку удовлетворенности участников образовательных отношений </w:t>
      </w:r>
      <w:r>
        <w:rPr>
          <w:rFonts w:cs="Times New Roman" w:ascii="Times New Roman" w:hAnsi="Times New Roman"/>
          <w:bCs/>
          <w:szCs w:val="24"/>
        </w:rPr>
        <w:t>качеством  условий, обеспечивающих образовательный процесс.</w:t>
      </w:r>
    </w:p>
    <w:p>
      <w:pPr>
        <w:pStyle w:val="Normal"/>
        <w:ind w:firstLine="708"/>
        <w:jc w:val="both"/>
        <w:rPr>
          <w:rFonts w:ascii="Times New Roman" w:hAnsi="Times New Roman"/>
          <w:spacing w:val="-2"/>
          <w:u w:val="none" w:color="000000"/>
          <w:lang w:eastAsia="en-US"/>
        </w:rPr>
      </w:pPr>
      <w:r>
        <w:rPr>
          <w:rFonts w:ascii="Times New Roman" w:hAnsi="Times New Roman"/>
          <w:spacing w:val="-2"/>
          <w:u w:val="none" w:color="000000"/>
          <w:lang w:eastAsia="en-US"/>
        </w:rPr>
        <w:t>5.Оценка удовлетворенности участников образовательных отношений, указанных в п.4.2., 4.3. и 4.4. проводится путем анкетирования участников образовательных отношений в соответствии с Регламентом проведения анкетирования.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Cs w:val="24"/>
          <w:u w:val="none" w:color="000000"/>
          <w:lang w:eastAsia="en-US"/>
        </w:rPr>
      </w:pPr>
      <w:r>
        <w:rPr>
          <w:rFonts w:cs="Times New Roman" w:ascii="Times New Roman" w:hAnsi="Times New Roman"/>
          <w:szCs w:val="24"/>
          <w:u w:val="none" w:color="000000"/>
          <w:lang w:eastAsia="en-US"/>
        </w:rPr>
        <w:t>Уровень удовлетворенности родителей (законных представителей) определяется суммой выставленных баллов:</w:t>
      </w:r>
    </w:p>
    <w:p>
      <w:pPr>
        <w:pStyle w:val="Default"/>
        <w:numPr>
          <w:ilvl w:val="0"/>
          <w:numId w:val="4"/>
        </w:numPr>
        <w:spacing w:before="0" w:after="47"/>
        <w:rPr/>
      </w:pPr>
      <w:r>
        <w:rPr/>
        <w:t xml:space="preserve">66 и более – высокий уровень удовлетворенности; </w:t>
      </w:r>
    </w:p>
    <w:p>
      <w:pPr>
        <w:pStyle w:val="Default"/>
        <w:numPr>
          <w:ilvl w:val="0"/>
          <w:numId w:val="4"/>
        </w:numPr>
        <w:spacing w:before="0" w:after="47"/>
        <w:rPr/>
      </w:pPr>
      <w:r>
        <w:rPr/>
        <w:t xml:space="preserve">от 55 до 66 – средний уровень удовлетворенности;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менее 55 – низкий уровень удовлетворенности. </w:t>
      </w:r>
    </w:p>
    <w:p>
      <w:pPr>
        <w:pStyle w:val="Normal"/>
        <w:ind w:firstLine="360"/>
        <w:jc w:val="both"/>
        <w:rPr>
          <w:rFonts w:ascii="Times New Roman" w:hAnsi="Times New Roman"/>
          <w:spacing w:val="-2"/>
          <w:u w:val="none" w:color="000000"/>
          <w:lang w:eastAsia="en-US"/>
        </w:rPr>
      </w:pPr>
      <w:r>
        <w:rPr>
          <w:rFonts w:ascii="Times New Roman" w:hAnsi="Times New Roman"/>
          <w:spacing w:val="-2"/>
          <w:u w:val="none" w:color="000000"/>
          <w:lang w:eastAsia="en-US"/>
        </w:rPr>
        <w:t>Уровень удовлетворенности обучающихся определяется суммой выставленных баллов:</w:t>
      </w:r>
    </w:p>
    <w:p>
      <w:pPr>
        <w:pStyle w:val="ListParagraph"/>
        <w:numPr>
          <w:ilvl w:val="0"/>
          <w:numId w:val="4"/>
        </w:numPr>
        <w:spacing w:before="0" w:after="44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63 и более – высокий уровень удовлетворенности; </w:t>
      </w:r>
    </w:p>
    <w:p>
      <w:pPr>
        <w:pStyle w:val="ListParagraph"/>
        <w:numPr>
          <w:ilvl w:val="0"/>
          <w:numId w:val="4"/>
        </w:numPr>
        <w:spacing w:before="0" w:after="44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 xml:space="preserve">от 55 до 63 – средний уровень удовлетворенности;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  <w:lang w:eastAsia="en-US"/>
        </w:rPr>
        <w:t>менее 55 – низкий уровень удовлетворенности.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Calibri" w:cs="Times New Roman" w:eastAsiaTheme="minorHAnsi"/>
          <w:color w:val="000000"/>
          <w:lang w:eastAsia="en-US" w:bidi="ar-SA"/>
        </w:rPr>
      </w:pPr>
      <w:r>
        <w:rPr>
          <w:rFonts w:eastAsia="Calibri" w:ascii="Times New Roman" w:hAnsi="Times New Roman" w:eastAsiaTheme="minorHAnsi"/>
          <w:color w:val="000000"/>
          <w:lang w:eastAsia="en-US"/>
        </w:rPr>
        <w:t xml:space="preserve"> </w:t>
      </w:r>
      <w:r>
        <w:rPr>
          <w:rFonts w:eastAsia="Calibri" w:ascii="Times New Roman" w:hAnsi="Times New Roman" w:eastAsiaTheme="minorHAnsi"/>
          <w:color w:val="000000"/>
          <w:lang w:eastAsia="en-US"/>
        </w:rPr>
        <w:tab/>
      </w:r>
      <w:r>
        <w:rPr>
          <w:rFonts w:eastAsia="Calibri" w:cs="Times New Roman" w:ascii="Times New Roman" w:hAnsi="Times New Roman" w:eastAsiaTheme="minorHAnsi"/>
          <w:color w:val="000000"/>
          <w:lang w:eastAsia="en-US" w:bidi="ar-SA"/>
        </w:rPr>
        <w:t>Уровень удовлетворенности педагогических работников определяется суммой выставленных баллов:</w:t>
      </w:r>
    </w:p>
    <w:p>
      <w:pPr>
        <w:pStyle w:val="Normal"/>
        <w:jc w:val="both"/>
        <w:rPr>
          <w:rFonts w:ascii="Times New Roman" w:hAnsi="Times New Roman" w:eastAsia="Calibri" w:eastAsiaTheme="minorHAnsi"/>
          <w:color w:val="000000"/>
          <w:lang w:eastAsia="en-US"/>
        </w:rPr>
      </w:pPr>
      <w:r>
        <w:rPr>
          <w:rFonts w:eastAsia="Calibri" w:eastAsiaTheme="minorHAnsi" w:ascii="Times New Roman" w:hAnsi="Times New Roman"/>
          <w:color w:val="000000"/>
          <w:lang w:eastAsia="en-US"/>
        </w:rPr>
      </w:r>
    </w:p>
    <w:p>
      <w:pPr>
        <w:pStyle w:val="Default"/>
        <w:numPr>
          <w:ilvl w:val="0"/>
          <w:numId w:val="4"/>
        </w:numPr>
        <w:spacing w:before="0" w:after="47"/>
        <w:rPr/>
      </w:pPr>
      <w:r>
        <w:rPr/>
        <w:t xml:space="preserve">66 и более – высокий уровень удовлетворенности; </w:t>
      </w:r>
    </w:p>
    <w:p>
      <w:pPr>
        <w:pStyle w:val="Default"/>
        <w:numPr>
          <w:ilvl w:val="0"/>
          <w:numId w:val="4"/>
        </w:numPr>
        <w:spacing w:before="0" w:after="47"/>
        <w:rPr/>
      </w:pPr>
      <w:r>
        <w:rPr/>
        <w:t xml:space="preserve">от 55 до 66 – средний уровень удовлетворенности; 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менее 55 – низкий уровень удовлетворенности. </w:t>
      </w:r>
    </w:p>
    <w:p>
      <w:pPr>
        <w:pStyle w:val="NoSpacing"/>
        <w:ind w:firstLine="708"/>
        <w:jc w:val="both"/>
        <w:rPr>
          <w:rFonts w:ascii="Times New Roman" w:hAnsi="Times New Roman" w:eastAsia="Calibri" w:cs="Times New Roman"/>
          <w:szCs w:val="24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spacing w:val="-2"/>
          <w:szCs w:val="24"/>
          <w:u w:val="none" w:color="000000"/>
          <w:lang w:eastAsia="en-US" w:bidi="ar-SA"/>
        </w:rPr>
        <w:t>4.3.7.</w:t>
      </w:r>
      <w:r>
        <w:rPr>
          <w:rFonts w:eastAsia="Calibri" w:cs="Times New Roman" w:ascii="Times New Roman" w:hAnsi="Times New Roman"/>
          <w:szCs w:val="24"/>
          <w:u w:val="none" w:color="000000"/>
          <w:lang w:eastAsia="en-US" w:bidi="ar-SA"/>
        </w:rPr>
        <w:t xml:space="preserve"> Сводная ведомость по итогам оценки </w:t>
      </w:r>
      <w:r>
        <w:rPr>
          <w:rFonts w:eastAsia="Calibri" w:cs="Times New Roman" w:ascii="Times New Roman" w:hAnsi="Times New Roman"/>
          <w:spacing w:val="-2"/>
          <w:szCs w:val="24"/>
          <w:u w:val="none" w:color="000000"/>
          <w:lang w:eastAsia="en-US" w:bidi="ar-SA"/>
        </w:rPr>
        <w:t>качества условий, обеспечивающих образовательный процесс, проводится по параметрам согласно Приложению 3.</w:t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Calibri" w:cs="Times New Roman"/>
          <w:spacing w:val="-2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spacing w:val="-2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Calibri" w:cs="Times New Roman"/>
          <w:spacing w:val="-2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spacing w:val="-2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eastAsia="Calibri" w:cs="Times New Roman"/>
          <w:spacing w:val="-2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spacing w:val="-2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ind w:firstLine="709"/>
        <w:jc w:val="right"/>
        <w:rPr>
          <w:rFonts w:ascii="Times New Roman" w:hAnsi="Times New Roman" w:eastAsia="Calibri" w:cs="Times New Roman"/>
          <w:spacing w:val="-2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spacing w:val="-2"/>
          <w:u w:val="none" w:color="000000"/>
          <w:lang w:eastAsia="en-US" w:bidi="ar-SA"/>
        </w:rPr>
        <w:t>Приложение 1</w:t>
      </w:r>
    </w:p>
    <w:p>
      <w:pPr>
        <w:pStyle w:val="Normal"/>
        <w:widowControl/>
        <w:suppressAutoHyphens w:val="false"/>
        <w:ind w:firstLine="709"/>
        <w:jc w:val="right"/>
        <w:rPr>
          <w:rFonts w:ascii="Times New Roman" w:hAnsi="Times New Roman" w:eastAsia="Calibri" w:cs="Times New Roman"/>
          <w:spacing w:val="-2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spacing w:val="-2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 w:cs="Times New Roman"/>
          <w:b/>
          <w:b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b/>
          <w:u w:val="none" w:color="000000"/>
          <w:lang w:eastAsia="en-US" w:bidi="ar-SA"/>
        </w:rPr>
        <w:t xml:space="preserve">Сводная ведомость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 w:cs="Times New Roman"/>
          <w:b/>
          <w:b/>
          <w:spacing w:val="-2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b/>
          <w:u w:val="none" w:color="000000"/>
          <w:lang w:eastAsia="en-US" w:bidi="ar-SA"/>
        </w:rPr>
        <w:t xml:space="preserve">по итогам оценки </w:t>
      </w:r>
      <w:r>
        <w:rPr>
          <w:rFonts w:eastAsia="Calibri" w:cs="Times New Roman" w:ascii="Times New Roman" w:hAnsi="Times New Roman"/>
          <w:b/>
          <w:spacing w:val="-2"/>
          <w:u w:val="none" w:color="000000"/>
          <w:lang w:eastAsia="en-US" w:bidi="ar-SA"/>
        </w:rPr>
        <w:t xml:space="preserve">качества образовательных результатов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tbl>
      <w:tblPr>
        <w:tblStyle w:val="af5"/>
        <w:tblW w:w="10565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98"/>
        <w:gridCol w:w="1561"/>
        <w:gridCol w:w="1559"/>
        <w:gridCol w:w="1559"/>
        <w:gridCol w:w="1388"/>
      </w:tblGrid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критерии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20_____-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20_____-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</w:t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20_____-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</w:t>
            </w:r>
          </w:p>
        </w:tc>
      </w:tr>
      <w:tr>
        <w:trPr/>
        <w:tc>
          <w:tcPr>
            <w:tcW w:w="10565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Предметные результаты</w:t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Численность (удельный вес) обучающихся, освоивших образовательные программы по каждому предмету, от общей численности обучающихся, в том числе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-обучающихся 1 – 4 классов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-обучающихся 5 - 9 классов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-обучающихся 10 – 11 классов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Численность (удельный вес) обучающихся, успевающих на «4» и «5»  по результатам промежуточной аттестации, в том числе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-обучающихся 1 – 4 классов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-обучающихся 5-9 классов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-обучающихся 10 -11 классов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Средний балл ГИА обучающихся 9 классов по русскому языку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Балл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Средний балл ГИА обучающихся 9 классов по математике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 xml:space="preserve">Балл 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Средний балл ЕГЭ обучающихся 11 классов по русскому языку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Балл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Средний балл ЕГЭ обучающихся 11 классов по математике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Балл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 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 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выпускников 11 класса, которые не получили аттестаты, от общей численности выпускников 11 класса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выпускников 9 класса, которые получили аттестаты с отличием, от общей численности выпускников 9 класса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выпускников 11 класса, которые получили аттестаты с отличием, от общей численности выпускников 11 класса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обучающихся – победителей и призеров ВОШ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-муниципального уровня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-регионального уровня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-федерального уровня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65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Метапредметные результаты</w:t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обучающихся 1-4 классов, принявших участие в проектной деятельности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обучающихся 5-7 классов, принявших участие в проектной деятельности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Удельный вес обучающихся, которые принимали участие в мероприятиях непредметной направленности от общей численности обучающихся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Численность (удельный вес) обучающихся – победителей и призеров мероприятиях непредметной направленности, от общей численности обучающихся, в том числе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-муниципального уровня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-регионального уровня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-федерального уровня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Численность (удельный вес) обучающихся, имеющих Портфель достижений, соответствующий школьным требованиям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65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Личностные результаты</w:t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Уровень воспитанности обучающихся 1-4 классов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-высокий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-средний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-низкий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Уровень воспитанности обучающихся 5-9 классов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-высокий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-средний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-низкий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Уровень воспитанности обучающихся 10 – 11 классов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-высокий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-средний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-низкий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65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Результаты анкетирования удовлетворенности родителей (законных представителей) качеством образовательных результатов</w:t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Удельный вес родителей (законных представителей) выпускных классов удовлетворенных качеством образования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-высокий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-средний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-низкий уровень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65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Результаты определения выпускников</w:t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Количество выпускников основной школы, в том числе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-поступили в 10 класс гимназии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-поступили в 10 класс другой ОО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-поступили в профессиональную 00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Количество выпускников средней школы, в том числе 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-поступили в ВУЗы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-поступили в профессиональную ОО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-устроились на работу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4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-пошли на срочную службу по призыву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</w:tbl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  <w:t>Приложение 2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 w:cs="Times New Roman"/>
          <w:b/>
          <w:b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b/>
          <w:u w:val="none" w:color="000000"/>
          <w:lang w:eastAsia="en-US" w:bidi="ar-SA"/>
        </w:rPr>
        <w:t xml:space="preserve">Сводная ведомость по итогам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Calibri" w:cs="Times New Roman" w:ascii="Times New Roman" w:hAnsi="Times New Roman"/>
          <w:b/>
          <w:u w:val="none" w:color="000000"/>
          <w:lang w:eastAsia="en-US" w:bidi="ar-SA"/>
        </w:rPr>
        <w:t xml:space="preserve">оценки </w:t>
      </w:r>
      <w:r>
        <w:rPr>
          <w:rFonts w:eastAsia="Calibri" w:cs="Times New Roman" w:ascii="Times New Roman" w:hAnsi="Times New Roman"/>
          <w:b/>
          <w:spacing w:val="-2"/>
          <w:u w:val="none" w:color="000000"/>
          <w:lang w:eastAsia="en-US" w:bidi="ar-SA"/>
        </w:rPr>
        <w:t xml:space="preserve">качества реализации образовательного процесса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tbl>
      <w:tblPr>
        <w:tblStyle w:val="af5"/>
        <w:tblW w:w="1059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9"/>
        <w:gridCol w:w="1843"/>
        <w:gridCol w:w="1417"/>
        <w:gridCol w:w="1418"/>
        <w:gridCol w:w="1701"/>
      </w:tblGrid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критерии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20_____-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</w:t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20_____-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20_____-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</w:t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Общая численность обучающихся, осваивающих ООП, в то числе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-начального общего образования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-основного общего образования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-среднего общего образования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Чел.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Соответствие ООП требования ФГОС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Соответствует/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не соответствует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Наличие рабочих программ по всем учебным предметам, их соответствие требованиям ФГОС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Наличие рабочих программ по всем учебным предметам, их соответствие требованиям локальным нормативным актам МОУ «Гимназия»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Наличие и количество индивидуальных учебных планов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Наличие плана внеурочной деятельности, соответствие требованиям ФГОС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Наличие рабочих программ курсов внеурочной деятельности, внесенных в план внеурочной деятельности, их соответствие требованиям ФГОС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Выполнение программ по предметам учебного плана, в том числе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-начального общего образования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-основного общего образования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-среднего общего образования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Выполнение программ курсов внеурочной деятельности, в том числе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-начального общего образования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-основного общего образования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-среднего общего образования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Численность обучающихся по программам с применением дистанционных технологий от общей численности обучающихся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98" w:type="dxa"/>
            <w:gridSpan w:val="5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 xml:space="preserve">Удовлетворенность участников образовательных отношений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 xml:space="preserve">качеством реализации образовательного процесса </w:t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Удельный вес родителей (законных представителей) удовлетворенных качеством реализации образовательного процесса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-высокий уровень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-средний уровень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-низкий уровень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Удельный вес педагогических работников удовлетворенных качеством образовательного процесса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-высокий уровень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-средний уровень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-низкий уровень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Удельный вес обучающихся удовлетворенных качеством образовательного процесса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-высокий уровень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-средний уровень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-низкий уровень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</w:tbl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  <w:t>Приложение 3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 w:cs="Times New Roman"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u w:val="none" w:color="000000"/>
          <w:lang w:eastAsia="en-US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 w:cs="Times New Roman"/>
          <w:b/>
          <w:b/>
          <w:u w:val="none" w:color="000000"/>
          <w:lang w:eastAsia="en-US" w:bidi="ar-SA"/>
        </w:rPr>
      </w:pPr>
      <w:r>
        <w:rPr>
          <w:rFonts w:eastAsia="Calibri" w:cs="Times New Roman" w:ascii="Times New Roman" w:hAnsi="Times New Roman"/>
          <w:b/>
          <w:u w:val="none" w:color="000000"/>
          <w:lang w:eastAsia="en-US" w:bidi="ar-SA"/>
        </w:rPr>
        <w:t xml:space="preserve">Сводная ведомость по итогам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Calibri" w:cs="Times New Roman" w:ascii="Times New Roman" w:hAnsi="Times New Roman"/>
          <w:b/>
          <w:u w:val="none" w:color="000000"/>
          <w:lang w:eastAsia="en-US" w:bidi="ar-SA"/>
        </w:rPr>
        <w:t xml:space="preserve">оценки </w:t>
      </w:r>
      <w:r>
        <w:rPr>
          <w:rFonts w:eastAsia="Calibri" w:cs="Times New Roman" w:ascii="Times New Roman" w:hAnsi="Times New Roman"/>
          <w:b/>
          <w:spacing w:val="-2"/>
          <w:u w:val="none" w:color="000000"/>
          <w:lang w:eastAsia="en-US" w:bidi="ar-SA"/>
        </w:rPr>
        <w:t xml:space="preserve">качества реализации образовательного процесса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tbl>
      <w:tblPr>
        <w:tblStyle w:val="af5"/>
        <w:tblW w:w="1059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9"/>
        <w:gridCol w:w="1843"/>
        <w:gridCol w:w="142"/>
        <w:gridCol w:w="1417"/>
        <w:gridCol w:w="1418"/>
        <w:gridCol w:w="1559"/>
      </w:tblGrid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критерии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20_____-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</w:t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20_____-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20_____-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200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20_____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Кадровые условия</w:t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Общая численность педагогических работников, в том числе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 высшим профессиональным образованием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-со средним профессиональным образованием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Численность педагогических работников, имеющих квалификационную категорию от общей численности педагогических работников, в том числе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 высшей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 первой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Численность педагогических работников от общей численности таких работников со стажем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-до 5 лет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-больше 20 лет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Численность педагогических работников от общей численности таких работников в возрасте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-до 30 лет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-от 55 лет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Численность педагогических работников, которые прошли повышение квалификации от общей численности таких работников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Численность педагогических работников, имеющих отраслевые награды, от общей численности таких работников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Чел.%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Укомплектованность педагогическими кадрами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%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Количество психологов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Чел.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Количество социальных педагогов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Чел.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Материально – технические условия</w:t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Количество компьютеров в расчете на одного обучающегося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Ед.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Наличие читального зала в библиотеке, в том числе наличие в ней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Имеется/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не имеется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-рабочих мест для работы на компьютере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-медиатеки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-средств сканирования и распознавания текста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-выхода в интернет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-системы контроля распечатки материалов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Численность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Чел. %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Количество кабинетов, оборудованных мультимедийными установками от общей численности кабинетов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Кол-во. %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Учебно – методические и информационные условия</w:t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Количество экземпляров учебной и учебно-методической литературы в общем количестве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Ед.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Ед.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Обеспеченность обучающихся учебной литературой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Соответствует/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не соответствует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Соответствует/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не соответствует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Безопасность образовательного процесса</w:t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Соответствие противопожарных норм и правил требованиям пожарной безопасности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Соответствует/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не соответствует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Результаты проверки Госпожнадзора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Предписания имеются/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отсутствуют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Spacing"/>
              <w:spacing w:lineRule="auto" w:line="240" w:before="0" w:after="0"/>
              <w:ind w:left="-142" w:firstLine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Соответствие норм и правил  требованиям СанПин  при организации учебно – воспитательного процесса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Соответствует/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не соответствует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Результаты проверки Роспотребнадзора 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Предписания имеются/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отсутствуют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Охват горячим питанием обучающихся  от общего количества обучающихся (всего), в том числе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-детей с ОВЗ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-детей, находящихся в трудной жизненной ситуации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Медицинское сопровождение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Имеется/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не имеется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Социальное партнерство и сотрудничество</w:t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Доля обучающихся, получающих дополнительное образование, организованных центрами дополнительного образования от общего количества обучающихся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Кол-во, 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Количество мероприятий, проводимых учреждением совместно с учреждениями культуры и искусства (посещение музеев, выставок, спектаклей и т.п.)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Кол-во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 w:eastAsiaTheme="minorHAnsi"/>
                <w:szCs w:val="20"/>
                <w:lang w:eastAsia="en-US" w:bidi="ar-SA"/>
              </w:rPr>
              <w:t>Доля обучающихся</w:t>
            </w:r>
            <w:r>
              <w:rPr>
                <w:rFonts w:cs="Times New Roman" w:ascii="Times New Roman" w:hAnsi="Times New Roman"/>
                <w:szCs w:val="20"/>
              </w:rPr>
              <w:t xml:space="preserve">, принявших участие в мероприятиях, организованных во время каникул всего, в том числе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Cs w:val="20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Cs w:val="20"/>
                <w:lang w:eastAsia="en-US" w:bidi="ar-SA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 xml:space="preserve">Кол-во, % 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szCs w:val="20"/>
                <w:lang w:eastAsia="en-US" w:bidi="ar-SA"/>
              </w:rPr>
              <w:t>-осенних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szCs w:val="20"/>
                <w:lang w:eastAsia="en-US" w:bidi="ar-SA"/>
              </w:rPr>
              <w:t>-зимних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lang w:eastAsia="en-US" w:bidi="ar-SA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 w:eastAsiaTheme="minorHAnsi"/>
                <w:szCs w:val="20"/>
                <w:lang w:eastAsia="en-US" w:bidi="ar-SA"/>
              </w:rPr>
              <w:t>-весенние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szCs w:val="20"/>
                <w:lang w:eastAsia="en-US" w:bidi="ar-SA"/>
              </w:rPr>
              <w:t>-летних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Общественно - государственное управление</w:t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Наличие управляющего совета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В наличии/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отсутствует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Доля родителей (законных представителей) участвующих в работе управляющего совета от общего количества родителей (законных представителей)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Кол-во,%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Наличие совета родителей (законных представителей)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В наличии/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отсутствует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Доля родителей (законных представителей) участвующих в работе совета родителей (законных представителей) совета от общего количества родителей (законных представителей)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Кол-во,%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Наличие органов ученического самоуправления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В наличии/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отсутствует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lang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Cs w:val="20"/>
                <w:lang w:eastAsia="en-US" w:bidi="ar-SA"/>
              </w:rPr>
              <w:t>Доля обучающихся, участвующих в ученическом самоуправлении от общего числа обучающихся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Кол-во,%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 xml:space="preserve">Удовлетворенность участников образовательных отношений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  <w:t>качеством реализации образовательного процесса</w:t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Удельный вес родителей (законных представителей) удовлетворенных качеством реализации образовательного процесса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-высокий уровень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-средний уровень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-низкий уровень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Удельный вес педагогических работников удовлетворенных качеством образовательного процесса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-высокий уровень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-средний уровень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-низкий уровень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Удельный вес обучающихся удовлетворенных качеством образовательного процесса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-высокий уровень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-средний уровень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-низкий уровень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 w:bidi="ar-SA"/>
              </w:rPr>
              <w:t>%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 w:bidi="ar-SA"/>
              </w:rPr>
            </w:r>
          </w:p>
        </w:tc>
      </w:tr>
    </w:tbl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lang w:eastAsia="ru-RU" w:bidi="ar-SA"/>
        </w:rPr>
      </w:pPr>
      <w:r>
        <w:rPr>
          <w:rFonts w:eastAsia="Times New Roman" w:cs="Times New Roman" w:ascii="Times New Roman" w:hAnsi="Times New Roman"/>
          <w:b/>
          <w:lang w:eastAsia="ru-RU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</w:r>
    </w:p>
    <w:p>
      <w:pPr>
        <w:pStyle w:val="Normal"/>
        <w:widowControl/>
        <w:suppressAutoHyphens w:val="false"/>
        <w:jc w:val="right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</w:r>
    </w:p>
    <w:p>
      <w:pPr>
        <w:pStyle w:val="Normal"/>
        <w:widowControl/>
        <w:suppressAutoHyphens w:val="false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0" w:right="707" w:header="708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extBookC">
    <w:charset w:val="01"/>
    <w:family w:val="roman"/>
    <w:pitch w:val="variable"/>
  </w:font>
  <w:font w:name="CenturySchlbk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173" w:hanging="46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eastAsia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13d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hi-IN" w:bidi="hi-IN"/>
    </w:rPr>
  </w:style>
  <w:style w:type="paragraph" w:styleId="1">
    <w:name w:val="Heading 1"/>
    <w:basedOn w:val="Normal"/>
    <w:link w:val="10"/>
    <w:uiPriority w:val="9"/>
    <w:qFormat/>
    <w:rsid w:val="00e03722"/>
    <w:pPr>
      <w:widowControl/>
      <w:suppressAutoHyphens w:val="false"/>
      <w:spacing w:beforeAutospacing="1" w:afterAutospacing="1"/>
      <w:outlineLvl w:val="0"/>
    </w:pPr>
    <w:rPr>
      <w:rFonts w:ascii="Arial" w:hAnsi="Arial" w:eastAsia="Times New Roman" w:cs="Arial"/>
      <w:b/>
      <w:bCs/>
      <w:sz w:val="20"/>
      <w:szCs w:val="20"/>
      <w:lang w:eastAsia="ru-RU" w:bidi="ar-SA"/>
    </w:rPr>
  </w:style>
  <w:style w:type="paragraph" w:styleId="2">
    <w:name w:val="Heading 2"/>
    <w:basedOn w:val="Normal"/>
    <w:link w:val="20"/>
    <w:uiPriority w:val="9"/>
    <w:qFormat/>
    <w:rsid w:val="00e03722"/>
    <w:pPr>
      <w:widowControl/>
      <w:suppressAutoHyphens w:val="false"/>
      <w:spacing w:beforeAutospacing="1" w:afterAutospacing="1"/>
      <w:outlineLvl w:val="1"/>
    </w:pPr>
    <w:rPr>
      <w:rFonts w:ascii="Arial" w:hAnsi="Arial" w:eastAsia="Times New Roman" w:cs="Arial"/>
      <w:b/>
      <w:bCs/>
      <w:sz w:val="36"/>
      <w:szCs w:val="36"/>
      <w:lang w:eastAsia="ru-RU" w:bidi="ar-SA"/>
    </w:rPr>
  </w:style>
  <w:style w:type="paragraph" w:styleId="3">
    <w:name w:val="Heading 3"/>
    <w:basedOn w:val="Normal"/>
    <w:link w:val="30"/>
    <w:uiPriority w:val="9"/>
    <w:qFormat/>
    <w:rsid w:val="00e03722"/>
    <w:pPr>
      <w:widowControl/>
      <w:suppressAutoHyphens w:val="false"/>
      <w:spacing w:beforeAutospacing="1" w:afterAutospacing="1"/>
      <w:outlineLvl w:val="2"/>
    </w:pPr>
    <w:rPr>
      <w:rFonts w:ascii="Arial" w:hAnsi="Arial" w:eastAsia="Times New Roman" w:cs="Arial"/>
      <w:b/>
      <w:bCs/>
      <w:sz w:val="33"/>
      <w:szCs w:val="33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basedOn w:val="DefaultParagraphFont"/>
    <w:qFormat/>
    <w:rsid w:val="004d13d3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03722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03722"/>
    <w:rPr>
      <w:rFonts w:ascii="Arial" w:hAnsi="Arial" w:eastAsia="Times New Roman" w:cs="Arial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03722"/>
    <w:rPr>
      <w:rFonts w:ascii="Arial" w:hAnsi="Arial" w:eastAsia="Times New Roman" w:cs="Arial"/>
      <w:b/>
      <w:bCs/>
      <w:sz w:val="33"/>
      <w:szCs w:val="33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e03722"/>
    <w:rPr>
      <w:color w:val="0000FF"/>
      <w:u w:val="single"/>
    </w:rPr>
  </w:style>
  <w:style w:type="character" w:styleId="Lspace" w:customStyle="1">
    <w:name w:val="lspace"/>
    <w:basedOn w:val="DefaultParagraphFont"/>
    <w:qFormat/>
    <w:rsid w:val="00e03722"/>
    <w:rPr>
      <w:color w:val="FF9900"/>
    </w:rPr>
  </w:style>
  <w:style w:type="character" w:styleId="Small" w:customStyle="1">
    <w:name w:val="small"/>
    <w:basedOn w:val="DefaultParagraphFont"/>
    <w:qFormat/>
    <w:rsid w:val="00e03722"/>
    <w:rPr>
      <w:sz w:val="15"/>
      <w:szCs w:val="15"/>
    </w:rPr>
  </w:style>
  <w:style w:type="character" w:styleId="Fill" w:customStyle="1">
    <w:name w:val="fill"/>
    <w:basedOn w:val="DefaultParagraphFont"/>
    <w:qFormat/>
    <w:rsid w:val="00e03722"/>
    <w:rPr>
      <w:b/>
      <w:bCs/>
      <w:i/>
      <w:iCs/>
      <w:color w:val="FF0000"/>
    </w:rPr>
  </w:style>
  <w:style w:type="character" w:styleId="Enp" w:customStyle="1">
    <w:name w:val="enp"/>
    <w:basedOn w:val="DefaultParagraphFont"/>
    <w:qFormat/>
    <w:rsid w:val="00e03722"/>
    <w:rPr>
      <w:color w:val="3C7828"/>
    </w:rPr>
  </w:style>
  <w:style w:type="character" w:styleId="Kdkss" w:customStyle="1">
    <w:name w:val="kdkss"/>
    <w:basedOn w:val="DefaultParagraphFont"/>
    <w:qFormat/>
    <w:rsid w:val="00e03722"/>
    <w:rPr>
      <w:color w:val="BE780A"/>
    </w:rPr>
  </w:style>
  <w:style w:type="character" w:styleId="Style13" w:customStyle="1">
    <w:name w:val="Верхний колонтитул Знак"/>
    <w:basedOn w:val="DefaultParagraphFont"/>
    <w:link w:val="a6"/>
    <w:uiPriority w:val="99"/>
    <w:semiHidden/>
    <w:qFormat/>
    <w:rsid w:val="00e03722"/>
    <w:rPr>
      <w:rFonts w:ascii="Arial" w:hAnsi="Arial" w:eastAsia="Times New Roman" w:cs="Arial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rsid w:val="00e03722"/>
    <w:rPr>
      <w:rFonts w:ascii="Arial" w:hAnsi="Arial" w:eastAsia="Times New Roman" w:cs="Arial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03722"/>
    <w:rPr>
      <w:sz w:val="16"/>
      <w:szCs w:val="16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e03722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Текст сноски Знак"/>
    <w:basedOn w:val="DefaultParagraphFont"/>
    <w:link w:val="ae"/>
    <w:uiPriority w:val="99"/>
    <w:semiHidden/>
    <w:qFormat/>
    <w:rsid w:val="00e03722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qFormat/>
    <w:rsid w:val="00e03722"/>
    <w:rPr>
      <w:vertAlign w:val="superscript"/>
    </w:rPr>
  </w:style>
  <w:style w:type="character" w:styleId="Style17" w:customStyle="1">
    <w:name w:val="Текст примечания Знак"/>
    <w:basedOn w:val="DefaultParagraphFont"/>
    <w:link w:val="af1"/>
    <w:uiPriority w:val="99"/>
    <w:semiHidden/>
    <w:qFormat/>
    <w:rsid w:val="00e03722"/>
    <w:rPr>
      <w:rFonts w:ascii="Arial" w:hAnsi="Arial" w:eastAsia="Times New Roman" w:cs="Arial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f3"/>
    <w:uiPriority w:val="99"/>
    <w:semiHidden/>
    <w:qFormat/>
    <w:rsid w:val="00e03722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eastAsia="Times New Roman"/>
    </w:rPr>
  </w:style>
  <w:style w:type="character" w:styleId="ListLabel100">
    <w:name w:val="ListLabel 100"/>
    <w:qFormat/>
    <w:rPr>
      <w:rFonts w:eastAsia="Times New Roman"/>
    </w:rPr>
  </w:style>
  <w:style w:type="character" w:styleId="ListLabel101">
    <w:name w:val="ListLabel 101"/>
    <w:qFormat/>
    <w:rPr>
      <w:rFonts w:eastAsia="Times New Roman"/>
    </w:rPr>
  </w:style>
  <w:style w:type="character" w:styleId="ListLabel102">
    <w:name w:val="ListLabel 102"/>
    <w:qFormat/>
    <w:rPr>
      <w:rFonts w:eastAsia="Times New Roman"/>
    </w:rPr>
  </w:style>
  <w:style w:type="character" w:styleId="ListLabel103">
    <w:name w:val="ListLabel 103"/>
    <w:qFormat/>
    <w:rPr>
      <w:rFonts w:eastAsia="Times New Roman"/>
    </w:rPr>
  </w:style>
  <w:style w:type="character" w:styleId="ListLabel104">
    <w:name w:val="ListLabel 104"/>
    <w:qFormat/>
    <w:rPr>
      <w:rFonts w:eastAsia="Times New Roman"/>
    </w:rPr>
  </w:style>
  <w:style w:type="character" w:styleId="ListLabel105">
    <w:name w:val="ListLabel 105"/>
    <w:qFormat/>
    <w:rPr>
      <w:rFonts w:eastAsia="Times New Roman"/>
    </w:rPr>
  </w:style>
  <w:style w:type="character" w:styleId="ListLabel106">
    <w:name w:val="ListLabel 106"/>
    <w:qFormat/>
    <w:rPr>
      <w:rFonts w:eastAsia="Times New Roman"/>
    </w:rPr>
  </w:style>
  <w:style w:type="character" w:styleId="ListLabel107">
    <w:name w:val="ListLabel 107"/>
    <w:qFormat/>
    <w:rPr>
      <w:rFonts w:ascii="Times New Roman" w:hAnsi="Times New Roman"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eastAsia="Times New Roman"/>
    </w:rPr>
  </w:style>
  <w:style w:type="character" w:styleId="ListLabel135">
    <w:name w:val="ListLabel 135"/>
    <w:qFormat/>
    <w:rPr>
      <w:rFonts w:eastAsia="Times New Roman"/>
    </w:rPr>
  </w:style>
  <w:style w:type="character" w:styleId="ListLabel136">
    <w:name w:val="ListLabel 136"/>
    <w:qFormat/>
    <w:rPr>
      <w:rFonts w:eastAsia="Times New Roman"/>
    </w:rPr>
  </w:style>
  <w:style w:type="character" w:styleId="ListLabel137">
    <w:name w:val="ListLabel 137"/>
    <w:qFormat/>
    <w:rPr>
      <w:rFonts w:eastAsia="Times New Roman"/>
    </w:rPr>
  </w:style>
  <w:style w:type="character" w:styleId="ListLabel138">
    <w:name w:val="ListLabel 138"/>
    <w:qFormat/>
    <w:rPr>
      <w:rFonts w:eastAsia="Times New Roman"/>
    </w:rPr>
  </w:style>
  <w:style w:type="character" w:styleId="ListLabel139">
    <w:name w:val="ListLabel 139"/>
    <w:qFormat/>
    <w:rPr>
      <w:rFonts w:eastAsia="Times New Roman"/>
    </w:rPr>
  </w:style>
  <w:style w:type="character" w:styleId="ListLabel140">
    <w:name w:val="ListLabel 140"/>
    <w:qFormat/>
    <w:rPr>
      <w:rFonts w:eastAsia="Times New Roman"/>
    </w:rPr>
  </w:style>
  <w:style w:type="character" w:styleId="ListLabel141">
    <w:name w:val="ListLabel 141"/>
    <w:qFormat/>
    <w:rPr>
      <w:rFonts w:eastAsia="Times New Roman"/>
    </w:rPr>
  </w:style>
  <w:style w:type="character" w:styleId="ListLabel142">
    <w:name w:val="ListLabel 142"/>
    <w:qFormat/>
    <w:rPr>
      <w:rFonts w:ascii="Times New Roman" w:hAnsi="Times New Roman"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Times New Roman" w:hAnsi="Times New Roman"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imes New Roman" w:hAnsi="Times New Roman" w:cs="Symbol"/>
      <w:sz w:val="24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eastAsia="Times New Roman"/>
    </w:rPr>
  </w:style>
  <w:style w:type="character" w:styleId="ListLabel170">
    <w:name w:val="ListLabel 170"/>
    <w:qFormat/>
    <w:rPr>
      <w:rFonts w:eastAsia="Times New Roman"/>
    </w:rPr>
  </w:style>
  <w:style w:type="character" w:styleId="ListLabel171">
    <w:name w:val="ListLabel 171"/>
    <w:qFormat/>
    <w:rPr>
      <w:rFonts w:eastAsia="Times New Roman"/>
    </w:rPr>
  </w:style>
  <w:style w:type="character" w:styleId="ListLabel172">
    <w:name w:val="ListLabel 172"/>
    <w:qFormat/>
    <w:rPr>
      <w:rFonts w:eastAsia="Times New Roman"/>
    </w:rPr>
  </w:style>
  <w:style w:type="character" w:styleId="ListLabel173">
    <w:name w:val="ListLabel 173"/>
    <w:qFormat/>
    <w:rPr>
      <w:rFonts w:eastAsia="Times New Roman"/>
    </w:rPr>
  </w:style>
  <w:style w:type="character" w:styleId="ListLabel174">
    <w:name w:val="ListLabel 174"/>
    <w:qFormat/>
    <w:rPr>
      <w:rFonts w:eastAsia="Times New Roman"/>
    </w:rPr>
  </w:style>
  <w:style w:type="character" w:styleId="ListLabel175">
    <w:name w:val="ListLabel 175"/>
    <w:qFormat/>
    <w:rPr>
      <w:rFonts w:eastAsia="Times New Roman"/>
    </w:rPr>
  </w:style>
  <w:style w:type="character" w:styleId="ListLabel176">
    <w:name w:val="ListLabel 176"/>
    <w:qFormat/>
    <w:rPr>
      <w:rFonts w:eastAsia="Times New Roman"/>
    </w:rPr>
  </w:style>
  <w:style w:type="character" w:styleId="ListLabel177">
    <w:name w:val="ListLabel 177"/>
    <w:qFormat/>
    <w:rPr>
      <w:rFonts w:ascii="Times New Roman" w:hAnsi="Times New Roman"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ascii="Times New Roman" w:hAnsi="Times New Roman"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ascii="Times New Roman" w:hAnsi="Times New Roman" w:cs="Symbol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eastAsia="Times New Roman"/>
    </w:rPr>
  </w:style>
  <w:style w:type="character" w:styleId="ListLabel205">
    <w:name w:val="ListLabel 205"/>
    <w:qFormat/>
    <w:rPr>
      <w:rFonts w:eastAsia="Times New Roman"/>
    </w:rPr>
  </w:style>
  <w:style w:type="character" w:styleId="ListLabel206">
    <w:name w:val="ListLabel 206"/>
    <w:qFormat/>
    <w:rPr>
      <w:rFonts w:eastAsia="Times New Roman"/>
    </w:rPr>
  </w:style>
  <w:style w:type="character" w:styleId="ListLabel207">
    <w:name w:val="ListLabel 207"/>
    <w:qFormat/>
    <w:rPr>
      <w:rFonts w:eastAsia="Times New Roman"/>
    </w:rPr>
  </w:style>
  <w:style w:type="character" w:styleId="ListLabel208">
    <w:name w:val="ListLabel 208"/>
    <w:qFormat/>
    <w:rPr>
      <w:rFonts w:eastAsia="Times New Roman"/>
    </w:rPr>
  </w:style>
  <w:style w:type="character" w:styleId="ListLabel209">
    <w:name w:val="ListLabel 209"/>
    <w:qFormat/>
    <w:rPr>
      <w:rFonts w:eastAsia="Times New Roman"/>
    </w:rPr>
  </w:style>
  <w:style w:type="character" w:styleId="ListLabel210">
    <w:name w:val="ListLabel 210"/>
    <w:qFormat/>
    <w:rPr>
      <w:rFonts w:eastAsia="Times New Roman"/>
    </w:rPr>
  </w:style>
  <w:style w:type="character" w:styleId="ListLabel211">
    <w:name w:val="ListLabel 211"/>
    <w:qFormat/>
    <w:rPr>
      <w:rFonts w:eastAsia="Times New Roman"/>
    </w:rPr>
  </w:style>
  <w:style w:type="character" w:styleId="ListLabel212">
    <w:name w:val="ListLabel 212"/>
    <w:qFormat/>
    <w:rPr>
      <w:rFonts w:ascii="Times New Roman" w:hAnsi="Times New Roman"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ascii="Times New Roman" w:hAnsi="Times New Roman"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ascii="Times New Roman" w:hAnsi="Times New Roman" w:cs="Symbol"/>
      <w:sz w:val="24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4d13d3"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  <w:lang w:eastAsia="ar-SA" w:bidi="ar-SA"/>
    </w:rPr>
  </w:style>
  <w:style w:type="paragraph" w:styleId="Headerlisttarget" w:customStyle="1">
    <w:name w:val="header-listtarget"/>
    <w:basedOn w:val="Normal"/>
    <w:qFormat/>
    <w:rsid w:val="00e03722"/>
    <w:pPr>
      <w:widowControl/>
      <w:shd w:val="clear" w:color="auto" w:fill="E66E5A"/>
      <w:suppressAutoHyphens w:val="false"/>
      <w:spacing w:beforeAutospacing="1" w:afterAutospacing="1"/>
    </w:pPr>
    <w:rPr>
      <w:rFonts w:ascii="Arial" w:hAnsi="Arial" w:eastAsia="Times New Roman" w:cs="Arial"/>
      <w:sz w:val="20"/>
      <w:szCs w:val="20"/>
      <w:lang w:eastAsia="ru-RU" w:bidi="ar-SA"/>
    </w:rPr>
  </w:style>
  <w:style w:type="paragraph" w:styleId="Style24">
    <w:name w:val="Header"/>
    <w:basedOn w:val="Normal"/>
    <w:link w:val="a7"/>
    <w:uiPriority w:val="99"/>
    <w:semiHidden/>
    <w:unhideWhenUsed/>
    <w:rsid w:val="00e03722"/>
    <w:pPr>
      <w:widowControl/>
      <w:tabs>
        <w:tab w:val="center" w:pos="4677" w:leader="none"/>
        <w:tab w:val="right" w:pos="9355" w:leader="none"/>
      </w:tabs>
      <w:suppressAutoHyphens w:val="false"/>
    </w:pPr>
    <w:rPr>
      <w:rFonts w:ascii="Arial" w:hAnsi="Arial" w:eastAsia="Times New Roman" w:cs="Arial"/>
      <w:lang w:eastAsia="ru-RU" w:bidi="ar-SA"/>
    </w:rPr>
  </w:style>
  <w:style w:type="paragraph" w:styleId="Style25">
    <w:name w:val="Footer"/>
    <w:basedOn w:val="Normal"/>
    <w:link w:val="a9"/>
    <w:uiPriority w:val="99"/>
    <w:semiHidden/>
    <w:unhideWhenUsed/>
    <w:rsid w:val="00e03722"/>
    <w:pPr>
      <w:widowControl/>
      <w:tabs>
        <w:tab w:val="center" w:pos="4677" w:leader="none"/>
        <w:tab w:val="right" w:pos="9355" w:leader="none"/>
      </w:tabs>
      <w:suppressAutoHyphens w:val="false"/>
    </w:pPr>
    <w:rPr>
      <w:rFonts w:ascii="Arial" w:hAnsi="Arial" w:eastAsia="Times New Roman" w:cs="Arial"/>
      <w:lang w:eastAsia="ru-RU" w:bidi="ar-SA"/>
    </w:rPr>
  </w:style>
  <w:style w:type="paragraph" w:styleId="NormalWeb">
    <w:name w:val="Normal (Web)"/>
    <w:basedOn w:val="Normal"/>
    <w:uiPriority w:val="99"/>
    <w:unhideWhenUsed/>
    <w:qFormat/>
    <w:rsid w:val="00e03722"/>
    <w:pPr>
      <w:widowControl/>
      <w:suppressAutoHyphens w:val="false"/>
      <w:spacing w:beforeAutospacing="1" w:afterAutospacing="1"/>
    </w:pPr>
    <w:rPr>
      <w:rFonts w:ascii="Arial" w:hAnsi="Arial" w:eastAsia="Times New Roman" w:cs="Arial"/>
      <w:sz w:val="20"/>
      <w:szCs w:val="20"/>
      <w:lang w:eastAsia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e03722"/>
    <w:pPr>
      <w:widowControl/>
      <w:suppressAutoHyphens w:val="false"/>
    </w:pPr>
    <w:rPr>
      <w:rFonts w:ascii="Tahoma" w:hAnsi="Tahoma" w:eastAsia="Times New Roman" w:cs="Tahoma"/>
      <w:sz w:val="16"/>
      <w:szCs w:val="16"/>
      <w:lang w:eastAsia="ru-RU" w:bidi="ar-SA"/>
    </w:rPr>
  </w:style>
  <w:style w:type="paragraph" w:styleId="Footnotetext">
    <w:name w:val="footnote text"/>
    <w:basedOn w:val="Normal"/>
    <w:link w:val="af"/>
    <w:uiPriority w:val="99"/>
    <w:semiHidden/>
    <w:unhideWhenUsed/>
    <w:qFormat/>
    <w:rsid w:val="00e03722"/>
    <w:pPr>
      <w:widowControl/>
      <w:suppressAutoHyphens w:val="false"/>
    </w:pPr>
    <w:rPr>
      <w:rFonts w:ascii="Calibri" w:hAnsi="Calibri" w:eastAsia="Calibri" w:cs="Times New Roman"/>
      <w:sz w:val="20"/>
      <w:szCs w:val="20"/>
      <w:lang w:val="x-none" w:eastAsia="x-none" w:bidi="ar-SA"/>
    </w:rPr>
  </w:style>
  <w:style w:type="paragraph" w:styleId="13NormDOCtxt" w:customStyle="1">
    <w:name w:val="13NormDOC-txt"/>
    <w:basedOn w:val="Normal"/>
    <w:uiPriority w:val="99"/>
    <w:qFormat/>
    <w:rsid w:val="00e03722"/>
    <w:pPr>
      <w:widowControl/>
      <w:suppressAutoHyphens w:val="false"/>
      <w:spacing w:lineRule="atLeast" w:line="220" w:before="113" w:after="0"/>
      <w:jc w:val="both"/>
    </w:pPr>
    <w:rPr>
      <w:rFonts w:ascii="TextBookC" w:hAnsi="TextBookC" w:eastAsia="Calibri" w:cs="TextBookC"/>
      <w:color w:val="000000"/>
      <w:spacing w:val="-2"/>
      <w:sz w:val="18"/>
      <w:szCs w:val="18"/>
      <w:u w:val="none" w:color="000000"/>
      <w:lang w:eastAsia="en-US" w:bidi="ar-SA"/>
    </w:rPr>
  </w:style>
  <w:style w:type="paragraph" w:styleId="13NormDOCbul" w:customStyle="1">
    <w:name w:val="13NormDOC-bul"/>
    <w:basedOn w:val="Normal"/>
    <w:uiPriority w:val="99"/>
    <w:qFormat/>
    <w:rsid w:val="00e03722"/>
    <w:pPr>
      <w:widowControl/>
      <w:suppressAutoHyphens w:val="false"/>
      <w:spacing w:lineRule="atLeast" w:line="220"/>
      <w:ind w:left="283" w:hanging="227"/>
      <w:jc w:val="both"/>
    </w:pPr>
    <w:rPr>
      <w:rFonts w:ascii="TextBookC" w:hAnsi="TextBookC" w:eastAsia="Calibri" w:cs="TextBookC"/>
      <w:color w:val="000000"/>
      <w:spacing w:val="-2"/>
      <w:sz w:val="18"/>
      <w:szCs w:val="18"/>
      <w:u w:val="none" w:color="000000"/>
      <w:lang w:eastAsia="en-US" w:bidi="ar-SA"/>
    </w:rPr>
  </w:style>
  <w:style w:type="paragraph" w:styleId="10VREZtxt" w:customStyle="1">
    <w:name w:val="10VREZ-txt"/>
    <w:basedOn w:val="Normal"/>
    <w:uiPriority w:val="99"/>
    <w:qFormat/>
    <w:rsid w:val="00e03722"/>
    <w:pPr>
      <w:widowControl/>
      <w:suppressAutoHyphens w:val="false"/>
      <w:spacing w:lineRule="auto" w:line="288"/>
    </w:pPr>
    <w:rPr>
      <w:rFonts w:ascii="CenturySchlbkCyr" w:hAnsi="CenturySchlbkCyr" w:eastAsia="Calibri" w:cs="CenturySchlbkCyr"/>
      <w:color w:val="000000"/>
      <w:spacing w:val="-2"/>
      <w:sz w:val="18"/>
      <w:szCs w:val="18"/>
      <w:u w:val="none" w:color="000000"/>
      <w:lang w:eastAsia="en-US" w:bidi="ar-SA"/>
    </w:rPr>
  </w:style>
  <w:style w:type="paragraph" w:styleId="Annotationtext">
    <w:name w:val="annotation text"/>
    <w:basedOn w:val="Normal"/>
    <w:link w:val="af2"/>
    <w:uiPriority w:val="99"/>
    <w:semiHidden/>
    <w:unhideWhenUsed/>
    <w:qFormat/>
    <w:rsid w:val="00e03722"/>
    <w:pPr>
      <w:widowControl/>
      <w:suppressAutoHyphens w:val="false"/>
    </w:pPr>
    <w:rPr>
      <w:rFonts w:ascii="Arial" w:hAnsi="Arial" w:eastAsia="Times New Roman" w:cs="Arial"/>
      <w:sz w:val="20"/>
      <w:szCs w:val="20"/>
      <w:lang w:eastAsia="ru-RU" w:bidi="ar-SA"/>
    </w:rPr>
  </w:style>
  <w:style w:type="paragraph" w:styleId="Annotationsubject">
    <w:name w:val="annotation subject"/>
    <w:basedOn w:val="Annotationtext"/>
    <w:link w:val="af4"/>
    <w:uiPriority w:val="99"/>
    <w:semiHidden/>
    <w:unhideWhenUsed/>
    <w:qFormat/>
    <w:rsid w:val="00e03722"/>
    <w:pPr/>
    <w:rPr>
      <w:b/>
      <w:bCs/>
    </w:rPr>
  </w:style>
  <w:style w:type="paragraph" w:styleId="Style110" w:customStyle="1">
    <w:name w:val="Style1"/>
    <w:qFormat/>
    <w:rsid w:val="00e0372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d55788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Mangal"/>
      <w:color w:val="00000A"/>
      <w:sz w:val="24"/>
      <w:szCs w:val="21"/>
      <w:lang w:val="ru-RU" w:eastAsia="hi-IN" w:bidi="hi-IN"/>
    </w:rPr>
  </w:style>
  <w:style w:type="paragraph" w:styleId="Default" w:customStyle="1">
    <w:name w:val="Default"/>
    <w:qFormat/>
    <w:rsid w:val="00bc24a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e0372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e0372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Application>LibreOffice/5.1.6.2$Linux_x86 LibreOffice_project/10m0$Build-2</Application>
  <Pages>14</Pages>
  <Words>2408</Words>
  <Characters>19289</Characters>
  <CharactersWithSpaces>21450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2019-02-12T12:34:00Z</dcterms:created>
  <dc:creator>Рождественская И.В.</dc:creator>
  <dc:description/>
  <dc:language>ru-RU</dc:language>
  <cp:lastModifiedBy/>
  <dcterms:modified xsi:type="dcterms:W3CDTF">2019-09-16T10:28:55Z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